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b/>
          <w:bCs/>
          <w:iCs/>
          <w:color w:val="000000" w:themeColor="text1"/>
          <w:sz w:val="22"/>
          <w:szCs w:val="22"/>
          <w:lang w:eastAsia="fr-FR"/>
        </w:rPr>
        <w:t xml:space="preserve">Faire pratiquer par kinésithérapeute : rééducation des membres inférieurs / des membres supérieurs pour trouble neurologique fonctionnel à type de : </w:t>
      </w:r>
      <w:r>
        <w:rPr>
          <w:rFonts w:ascii="Calibri" w:eastAsia="Times New Roman" w:hAnsi="Calibri" w:cs="Calibri"/>
          <w:b/>
          <w:bCs/>
          <w:iCs/>
          <w:color w:val="000000" w:themeColor="text1"/>
          <w:sz w:val="22"/>
          <w:szCs w:val="22"/>
          <w:lang w:eastAsia="fr-FR"/>
        </w:rPr>
        <w:t>parésie / tremblement / dystonie / paralysie faciale</w:t>
      </w:r>
      <w:r w:rsidR="00066FA6">
        <w:rPr>
          <w:rFonts w:ascii="Calibri" w:eastAsia="Times New Roman" w:hAnsi="Calibri" w:cs="Calibri"/>
          <w:b/>
          <w:bCs/>
          <w:iCs/>
          <w:color w:val="000000" w:themeColor="text1"/>
          <w:sz w:val="22"/>
          <w:szCs w:val="22"/>
          <w:lang w:eastAsia="fr-FR"/>
        </w:rPr>
        <w:t xml:space="preserve"> … </w:t>
      </w:r>
      <w:bookmarkStart w:id="0" w:name="_GoBack"/>
      <w:bookmarkEnd w:id="0"/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Une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  <w:t>approche fonctionnelle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axée sur la tâche et permettant de stimuler les réponses motrices automatiques / reflexes est préconisée.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 Fixer des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  <w:t>objectifs définis avec le patient 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(avec si possible des échéances prévisionnelles ex : semaine 1 : 2 cannes , semaine 2 : 1 canne…etc..)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 L’approche analytique est évitée le plus possible sauf pour mettre en évidence des signes positifs ou Montrer la réversibilité du symptôme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 Privilégier les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  <w:t>exercices en double tâche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et en général toute stimulation permettant de détourner l’attention du patient (du symptôme et des limitations fonctionnelles)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 Travailler des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  <w:t>exercices signifiants pour le patient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et pouvant directement se traduire en terme de fonction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 Renforcer positivement les fonctions préservées</w:t>
      </w: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</w:pPr>
    </w:p>
    <w:p w:rsidR="006A306E" w:rsidRDefault="006A306E" w:rsidP="006A306E">
      <w:pPr>
        <w:jc w:val="both"/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</w:pP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lang w:eastAsia="fr-FR"/>
        </w:rPr>
        <w:t>o </w:t>
      </w:r>
      <w:r w:rsidRPr="006A306E">
        <w:rPr>
          <w:rFonts w:ascii="Calibri" w:eastAsia="Times New Roman" w:hAnsi="Calibri" w:cs="Calibri"/>
          <w:iCs/>
          <w:color w:val="000000" w:themeColor="text1"/>
          <w:sz w:val="22"/>
          <w:szCs w:val="22"/>
          <w:u w:val="single"/>
          <w:lang w:eastAsia="fr-FR"/>
        </w:rPr>
        <w:t>Limiter le recours aux aides techniques</w:t>
      </w:r>
    </w:p>
    <w:p w:rsid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</w:p>
    <w:p w:rsid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</w:p>
    <w:p w:rsidR="006A306E" w:rsidRPr="006A306E" w:rsidRDefault="006A306E" w:rsidP="006A306E">
      <w:p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 xml:space="preserve">Pour plus d’informations, différents documents de référence dans la rééducation des TNF sont disponibles sur </w:t>
      </w:r>
      <w:r w:rsidRPr="006A306E"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https://www.neuro-bretagne.com</w:t>
      </w: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fr-FR"/>
        </w:rPr>
        <w:t>.</w:t>
      </w:r>
    </w:p>
    <w:p w:rsidR="00014BBF" w:rsidRPr="006A306E" w:rsidRDefault="00066FA6" w:rsidP="006A306E">
      <w:pPr>
        <w:jc w:val="both"/>
        <w:rPr>
          <w:color w:val="000000" w:themeColor="text1"/>
        </w:rPr>
      </w:pPr>
    </w:p>
    <w:sectPr w:rsidR="00014BBF" w:rsidRPr="006A306E" w:rsidSect="000321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6E"/>
    <w:rsid w:val="0003219A"/>
    <w:rsid w:val="00066FA6"/>
    <w:rsid w:val="006A306E"/>
    <w:rsid w:val="008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E33952"/>
  <w15:chartTrackingRefBased/>
  <w15:docId w15:val="{FA4093B9-C6E5-574F-A866-2713F79D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6A3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Hennion-Imbault</dc:creator>
  <cp:keywords/>
  <dc:description/>
  <cp:lastModifiedBy>Quentin Hennion-Imbault</cp:lastModifiedBy>
  <cp:revision>2</cp:revision>
  <dcterms:created xsi:type="dcterms:W3CDTF">2026-06-11T16:29:00Z</dcterms:created>
  <dcterms:modified xsi:type="dcterms:W3CDTF">2026-06-11T16:33:00Z</dcterms:modified>
</cp:coreProperties>
</file>